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D99D18" w14:textId="77777777" w:rsidR="000F4F47" w:rsidRPr="000F4F47" w:rsidRDefault="000F4F47" w:rsidP="000F4F47">
      <w:pPr>
        <w:jc w:val="center"/>
        <w:rPr>
          <w:b/>
        </w:rPr>
      </w:pPr>
      <w:r w:rsidRPr="000F4F47">
        <w:rPr>
          <w:b/>
        </w:rPr>
        <w:t xml:space="preserve">Alegaciones al </w:t>
      </w:r>
      <w:r w:rsidRPr="000F4F47">
        <w:rPr>
          <w:lang w:val="en-US"/>
        </w:rPr>
        <w:t xml:space="preserve"> </w:t>
      </w:r>
      <w:r w:rsidRPr="000F4F47">
        <w:rPr>
          <w:b/>
        </w:rPr>
        <w:t>Anteproyecto de Ley de Protección y Derechos de los animales ante</w:t>
      </w:r>
    </w:p>
    <w:p w14:paraId="236C7950" w14:textId="77777777" w:rsidR="000F4F47" w:rsidRPr="000F4F47" w:rsidRDefault="000F4F47" w:rsidP="000F4F47">
      <w:pPr>
        <w:jc w:val="center"/>
        <w:rPr>
          <w:b/>
        </w:rPr>
      </w:pPr>
      <w:r w:rsidRPr="000F4F47">
        <w:rPr>
          <w:b/>
        </w:rPr>
        <w:t>el Ministerio de Derechos Sociales y Agenda 2030</w:t>
      </w:r>
    </w:p>
    <w:p w14:paraId="1376B281" w14:textId="77777777" w:rsidR="000F4F47" w:rsidRPr="000F4F47" w:rsidRDefault="000F4F47" w:rsidP="000F4F47"/>
    <w:p w14:paraId="4BAABA6E" w14:textId="77777777" w:rsidR="000F4F47" w:rsidRPr="000F4F47" w:rsidRDefault="000F4F47" w:rsidP="000F4F47">
      <w:pPr>
        <w:rPr>
          <w:lang w:val="en-US"/>
        </w:rPr>
      </w:pPr>
      <w:r w:rsidRPr="000F4F47">
        <w:rPr>
          <w:lang w:val="en-US"/>
        </w:rPr>
        <w:t xml:space="preserve">Yo, </w:t>
      </w:r>
      <w:r w:rsidR="0036149F">
        <w:rPr>
          <w:lang w:val="en-US"/>
        </w:rPr>
        <w:t>(nombre, apellidos, DNI, dirección, email)</w:t>
      </w:r>
    </w:p>
    <w:p w14:paraId="6FBEF74F" w14:textId="77777777" w:rsidR="000F4F47" w:rsidRPr="000F4F47" w:rsidRDefault="000F4F47" w:rsidP="000F4F47">
      <w:pPr>
        <w:rPr>
          <w:lang w:val="en-US"/>
        </w:rPr>
      </w:pPr>
    </w:p>
    <w:p w14:paraId="0C227A61" w14:textId="77777777" w:rsidR="000F4F47" w:rsidRPr="000F4F47" w:rsidRDefault="000F4F47" w:rsidP="000F4F47">
      <w:pPr>
        <w:rPr>
          <w:lang w:val="en-US"/>
        </w:rPr>
      </w:pPr>
    </w:p>
    <w:p w14:paraId="21BD8546" w14:textId="77777777" w:rsidR="000F4F47" w:rsidRDefault="000F4F47" w:rsidP="000F4F47">
      <w:r w:rsidRPr="000F4F47">
        <w:rPr>
          <w:lang w:val="en-US"/>
        </w:rPr>
        <w:t>De conformidad con lo previsto en el artículo 26.6 de la Ley 50/1997, de 27 de noviembre, del Gobierno, se somete a información pública el Anteproyecto de Ley de Protección y Derechos de los animales</w:t>
      </w:r>
      <w:r w:rsidRPr="000F4F47">
        <w:t xml:space="preserve">, y tras examen del borrador expuesto, deseo plantear </w:t>
      </w:r>
      <w:r>
        <w:t xml:space="preserve">mediante el presente escrito las siguientes </w:t>
      </w:r>
      <w:r w:rsidRPr="000F4F47">
        <w:t>alegaciones y sugerencias</w:t>
      </w:r>
      <w:r>
        <w:t>:</w:t>
      </w:r>
    </w:p>
    <w:p w14:paraId="7EAEA472" w14:textId="77777777" w:rsidR="000F4F47" w:rsidRDefault="000F4F47" w:rsidP="000068BB">
      <w:pPr>
        <w:pStyle w:val="Prrafodelista"/>
        <w:numPr>
          <w:ilvl w:val="0"/>
          <w:numId w:val="3"/>
        </w:numPr>
      </w:pPr>
      <w:r w:rsidRPr="0036149F">
        <w:rPr>
          <w:u w:val="single"/>
        </w:rPr>
        <w:t>Pido que el actual borrador sea desechado y completamente reescrito</w:t>
      </w:r>
      <w:r>
        <w:t>, puesto que se redacta no desde un punto de vista científico y desde el consenso entre todos los sectores implicados, sino desde la óptica de una corriente filosófica, la de los derechos animales</w:t>
      </w:r>
      <w:r w:rsidR="007F7100">
        <w:t xml:space="preserve"> o “animalismo”</w:t>
      </w:r>
      <w:r>
        <w:t xml:space="preserve"> que no es más que una de tantas de las que ofrece el supermercado cultural del siglo XXI. </w:t>
      </w:r>
      <w:r w:rsidR="000068BB">
        <w:t xml:space="preserve">En un estado laico europeo no se deben dictar normas basadas en morales privadas, religiones o creencias filosóficas, que, en este caso como tal se encuentra reconocida legalmente en el Reino Unido la filosofía de los Derechos Animales. Ya se recoge en la exposición de motivos del borrador de anteproyecto que </w:t>
      </w:r>
      <w:r w:rsidR="000068BB" w:rsidRPr="000068BB">
        <w:rPr>
          <w:i/>
        </w:rPr>
        <w:t>“El principal objetivo de esta Ley no es tanto el garantizar el bienestar de los animales evaluando las condiciones que se le ofrecen, sino el regular el reconocimiento y la protección de la dignidad de los animales por parte de la sociedad. Por tanto, no regula a los animales como un elemento más dentro de nuestra actividad económica a  los  que  se  deban  unas  condiciones  por  su  capacidad  sentir, sino  que  regula nuestro  comportamiento  hacia ellos como seres vivos dentro de nuestro entorno de convivencia”</w:t>
      </w:r>
      <w:r w:rsidR="000068BB">
        <w:t xml:space="preserve">. Tal regulación de nuestro comportamiento hacia ellos se propone casi estrictamente como la observación de una moral impuesta, y no como la aplicación de principios científicos para el mejor bienestar de los animales. </w:t>
      </w:r>
    </w:p>
    <w:p w14:paraId="0CE79756" w14:textId="77777777" w:rsidR="007F7100" w:rsidRDefault="007F7100" w:rsidP="007F7100">
      <w:pPr>
        <w:pStyle w:val="Prrafodelista"/>
      </w:pPr>
    </w:p>
    <w:p w14:paraId="2BA583B4" w14:textId="77777777" w:rsidR="007F7100" w:rsidRDefault="007F7100" w:rsidP="007F7100">
      <w:pPr>
        <w:pStyle w:val="Prrafodelista"/>
        <w:numPr>
          <w:ilvl w:val="0"/>
          <w:numId w:val="3"/>
        </w:numPr>
      </w:pPr>
      <w:r>
        <w:t>E</w:t>
      </w:r>
      <w:r w:rsidR="00DA3A68">
        <w:t xml:space="preserve">l concepto de “animal” que se maneja </w:t>
      </w:r>
      <w:r>
        <w:t xml:space="preserve">en la ley se encuentra </w:t>
      </w:r>
      <w:r w:rsidR="00DA3A68">
        <w:t>dentro de lo que vagamente podríamos lla</w:t>
      </w:r>
      <w:r w:rsidR="0036149F">
        <w:t>mar hoy en día “animalismo” está</w:t>
      </w:r>
      <w:r w:rsidR="00DA3A68">
        <w:t xml:space="preserve"> construido más a escala numinoso-religiosa que a escala estrictamente zoológica.</w:t>
      </w:r>
      <w:r>
        <w:t xml:space="preserve"> </w:t>
      </w:r>
      <w:r w:rsidR="00DA3A68">
        <w:t>No es el animalismo un movimiento social claro ni distinto. Posee una dimensión académica cuyo inicio suele colocarse en “Animals’ Rights: Considered in Relation to Social Progress” de Henry Stephens Salt (1894), y llega hasta textos actuales del profesor Jeff McMahan, en donde se propone la extinción de todas las especies carnívoras para alcanzar así un planeta sin sufrimiento.</w:t>
      </w:r>
      <w:r>
        <w:t xml:space="preserve"> Por más que el animalista declare estar movido por una solidaridad fraternal hacia seres que, en tanto que sintientes como él, son esencialmente semejantes, la figura emocional de esta reivindicación de los animales -de estos nuevos animales reentendidos desde la ciudad- está más cercana a la relación religiosa con los númenes que a una postura panespecista zoológicamente coherente. El concepto de “numen” adquiere protagonismo en la teología del siglo XX a través de la obra de Rudolf Otto -fundamentalmente Lo santo (1917)- como el contenido primario de las religiones, pero es en El animal divino (1985) de Gustavo Bueno donde se ensaya de forma más potente una filosofía materialista de la religión en donde las </w:t>
      </w:r>
      <w:r>
        <w:lastRenderedPageBreak/>
        <w:t>relaciones hombre-animal son vistas como el germen de la experiencia numinosa y, por extensión, del hecho religioso. Los númenes son seres dotados de voluntad, una cierta racionalidad y comportamiento propio, que revientan la dicotomía clásica hombre/objeto, ya que obviamente no pertenecen a ninguna de esas dos categorías.</w:t>
      </w:r>
    </w:p>
    <w:p w14:paraId="07BA527B" w14:textId="20EC8600" w:rsidR="00DA3A68" w:rsidRDefault="007F7100" w:rsidP="007F7100">
      <w:pPr>
        <w:pStyle w:val="Prrafodelista"/>
      </w:pPr>
      <w:r>
        <w:t xml:space="preserve">Dioses, extraterrestres, animales mitológicos, nacerían del peculiar trato que el ser humano ha mantenido con algunos animales a lo largo de su historia como especie. Considerarlos personas lleva a infinidad de situaciones simplemente ridículas. Considerarlos objetos es incompatible con su evidente actividad propositiva. No son númenes por sí mismos: lo que les convierte en númenes son sus relaciones con nosotros y, por tanto, necesitarán estar dados a una cierta escala operativa humana, -no podrán ser númenes los insectos, los dinosaurios o los peces abisales-. Si en su análisis de las religiones Bueno concluía que los númenes son animales, en </w:t>
      </w:r>
      <w:r w:rsidR="00950613">
        <w:t xml:space="preserve">este </w:t>
      </w:r>
      <w:r>
        <w:t>análisis del animalismo cabe concluir que los animales son númenes. Y así, del total del reino zoológico, con sus millones y millones de especies animales, los animalistas recortan una pequeña parte -fundamentalmente mascotas y animales de granja, aquéllos con los que los humanos mantenemos relaciones- para constituir el nuevo concepto de “animales”, ahora elaborado mediante una reconstrucción más numinosa que biológica. Estos conceptos se destilan en todo momento en el borrador y se habla abiertamente de animales vertebrados en el artículo 25, apartado 5. A</w:t>
      </w:r>
      <w:r w:rsidRPr="007F7100">
        <w:t xml:space="preserve"> pesar de que los insectos poseen sistemas nerviosos sofisticados, receptores del dolor, organizaciones sociales complejas, y, sobre todo, constituyen más del noventa por ciento de los animales del planeta, ninguna reivindicación animalista ha intentado proteger los derechos de estos seres sin duda alguna sintientes, -las diferencias respecto de las sensaciones humanas no </w:t>
      </w:r>
      <w:r>
        <w:t>deberían restar</w:t>
      </w:r>
      <w:r w:rsidRPr="007F7100">
        <w:t xml:space="preserve"> legitimidad a dichas sensaciones a los ojos de </w:t>
      </w:r>
      <w:r>
        <w:t xml:space="preserve">los redactores de la ley, que se refieren a los animales como “seres sintientes” (artículo 31.2). El borrador está redactado, pues, siguiendo creencias filosóficas rayanas en lo religioso, y en absoluto en la ciencia, la conservación y el bienestar animal. </w:t>
      </w:r>
    </w:p>
    <w:p w14:paraId="11FAF41B" w14:textId="77777777" w:rsidR="00C00EB5" w:rsidRDefault="00C00EB5" w:rsidP="00C00EB5">
      <w:pPr>
        <w:pStyle w:val="Prrafodelista"/>
      </w:pPr>
    </w:p>
    <w:p w14:paraId="637364DB" w14:textId="723940A2" w:rsidR="000068BB" w:rsidRDefault="00950613" w:rsidP="00C00EB5">
      <w:pPr>
        <w:pStyle w:val="Prrafodelista"/>
        <w:numPr>
          <w:ilvl w:val="0"/>
          <w:numId w:val="3"/>
        </w:numPr>
      </w:pPr>
      <w:r>
        <w:t>Se hace</w:t>
      </w:r>
      <w:r w:rsidR="00C00EB5">
        <w:t xml:space="preserve"> </w:t>
      </w:r>
      <w:r w:rsidR="007F7100">
        <w:t>referencia en la ley a una</w:t>
      </w:r>
      <w:r w:rsidR="00C00EB5">
        <w:t xml:space="preserve"> resolución no vinculante y no legislativa</w:t>
      </w:r>
      <w:r w:rsidR="007F7100">
        <w:t xml:space="preserve"> que</w:t>
      </w:r>
      <w:r w:rsidR="00C00EB5">
        <w:t xml:space="preserve"> no insta a la elaboración de “Listados Positivos”, sino que d</w:t>
      </w:r>
      <w:r>
        <w:t>esde una redacción ambigua, y que</w:t>
      </w:r>
      <w:r w:rsidR="00C00EB5">
        <w:t xml:space="preserve"> en absoluto constituye una directiva que deba trasponerse a la ley española, se pide la elaboración de diversas “listas blancas”</w:t>
      </w:r>
      <w:r>
        <w:t xml:space="preserve"> para diversos fines</w:t>
      </w:r>
      <w:r w:rsidR="00C00EB5">
        <w:t xml:space="preserve">. “Listado Positivo” es la terminología utilizada por los lobbies de derechos animales registrados ante la UE “AAP” y “Eurogroup for Animals”, que destinan anualmente en conjunto cerca de 1.400.000 € anuales para influir en políticas ante la unión europea. Por tanto, claramente no es la </w:t>
      </w:r>
      <w:r w:rsidR="00C00EB5" w:rsidRPr="00C00EB5">
        <w:t>Resolución del Parlamento Europeo de 9 de junio de 2021, sobre la “Estrategia de la Biodiversidad 2030”</w:t>
      </w:r>
      <w:r w:rsidR="00C00EB5">
        <w:t xml:space="preserve"> la que inspira la elaboración de esta lista, puesto que la terminología delata a los redactores del anteproyecto</w:t>
      </w:r>
      <w:r w:rsidR="009B5AC4">
        <w:t xml:space="preserve"> como s</w:t>
      </w:r>
      <w:r w:rsidR="00E25574">
        <w:t xml:space="preserve">eguidores de la ya expuesta </w:t>
      </w:r>
      <w:r w:rsidR="009B5AC4">
        <w:t>filosofía de los derechos animales, también conocida como animalismo</w:t>
      </w:r>
      <w:r w:rsidR="00C00EB5">
        <w:t>.</w:t>
      </w:r>
    </w:p>
    <w:p w14:paraId="5CF11679" w14:textId="77777777" w:rsidR="00C00EB5" w:rsidRDefault="00C00EB5" w:rsidP="00C00EB5">
      <w:pPr>
        <w:pStyle w:val="Prrafodelista"/>
      </w:pPr>
    </w:p>
    <w:p w14:paraId="27F815E5" w14:textId="36CF34D3" w:rsidR="00846D8C" w:rsidRDefault="00C00EB5" w:rsidP="000F4F47">
      <w:pPr>
        <w:pStyle w:val="Prrafodelista"/>
        <w:numPr>
          <w:ilvl w:val="0"/>
          <w:numId w:val="3"/>
        </w:numPr>
      </w:pPr>
      <w:r>
        <w:t xml:space="preserve">Los </w:t>
      </w:r>
      <w:r w:rsidR="00E25574">
        <w:t>“Listados P</w:t>
      </w:r>
      <w:r>
        <w:t xml:space="preserve">ositivos” a los que se refiere el borrador del anteproyecto </w:t>
      </w:r>
      <w:r w:rsidR="00B10BCB">
        <w:t xml:space="preserve">en su artículo 46 </w:t>
      </w:r>
      <w:r>
        <w:t>han tenido un arduo recorrido en algunos de los países de nuestro entorno. Por definición, son arbitrarios, y dejarían fuera de la lista a infinidad de especies que son aptas para su mantenimiento en cautividad en los hogares, tal como demuestra la costumbre de hacerlo con muchas de ellas desde hace décadas</w:t>
      </w:r>
      <w:r w:rsidR="00846D8C">
        <w:t>. En Holanda se impus</w:t>
      </w:r>
      <w:r>
        <w:t xml:space="preserve">o uno de estos listados, pero fue derogado por su arbitrariedad </w:t>
      </w:r>
      <w:r w:rsidR="00846D8C">
        <w:t xml:space="preserve">y falta de objetividad por </w:t>
      </w:r>
      <w:r w:rsidR="00846D8C">
        <w:lastRenderedPageBreak/>
        <w:t>el T</w:t>
      </w:r>
      <w:r w:rsidR="00846D8C" w:rsidRPr="00846D8C">
        <w:t>ribunal de Apelaciones de Comercio e Industria (</w:t>
      </w:r>
      <w:r w:rsidR="00846D8C">
        <w:t xml:space="preserve">College van Beroep voor het bedrijfsleven - </w:t>
      </w:r>
      <w:r w:rsidR="00846D8C" w:rsidRPr="00846D8C">
        <w:t>CBb)</w:t>
      </w:r>
      <w:r>
        <w:t xml:space="preserve"> </w:t>
      </w:r>
      <w:r w:rsidR="00846D8C">
        <w:t xml:space="preserve">en su sentencia 15/750   del 28 de marzo de 2017. Ningún organismo internacional como CITES, o IUCN contempla el uso de listas blancas por su carácter arbitrario. Si una especie no cumple los requisitos para ser tenida en los hogares, deberá ser demostrado con el correspondiente análisis de riesgos, y una inversión de la carga de la prueba en este sentido no está contemplada por los convenios internacionales firmados por España. </w:t>
      </w:r>
    </w:p>
    <w:p w14:paraId="736CC848" w14:textId="77777777" w:rsidR="00846D8C" w:rsidRDefault="00846D8C" w:rsidP="00846D8C">
      <w:pPr>
        <w:pStyle w:val="Prrafodelista"/>
      </w:pPr>
    </w:p>
    <w:p w14:paraId="2F4C670C" w14:textId="77777777" w:rsidR="000F4F47" w:rsidRDefault="00846D8C" w:rsidP="00846D8C">
      <w:pPr>
        <w:pStyle w:val="Prrafodelista"/>
        <w:numPr>
          <w:ilvl w:val="0"/>
          <w:numId w:val="3"/>
        </w:numPr>
      </w:pPr>
      <w:r>
        <w:t>El Convenio Europeo sobre Protección de Animales de Compañía, de 13 de noviembre de 1987, ratificado por el Reino de España el 11 de octubre de 2017, define animal de compañía como “</w:t>
      </w:r>
      <w:r w:rsidRPr="00846D8C">
        <w:t>todo aquel que sea tenido o esté destinado a ser tenido por el hombre, en particular en su propia vivienda, para que le sirva de esparcimiento y le haga compañía.</w:t>
      </w:r>
      <w:r>
        <w:t>”</w:t>
      </w:r>
      <w:r w:rsidR="00F6069B">
        <w:t xml:space="preserve"> En su artículo 1. Los animales legalmente adquiridos en el territorio español y que habitan en los hogares, están actualmente amparados bajo dicha definición. Incluirlos en la categoría de animales silvestres por un arbitrario “Listado Positivo” colocaría a cientos de miles de animales en una situación extrema, atacando directamente al derecho a la propiedad privada recogido en la constitución española y sometiéndolos a medidas similares a las previstas en el Real Decreto 630/2013 sin el preceptivo análisis de riesgos, como si fueran pertenecientes a Especies Exóticas Invasoras (EEI)</w:t>
      </w:r>
      <w:r w:rsidR="00B10BCB">
        <w:t>, según el artículo 47 del borrador</w:t>
      </w:r>
      <w:r w:rsidR="00F6069B">
        <w:t>.</w:t>
      </w:r>
    </w:p>
    <w:p w14:paraId="2119F8A0" w14:textId="77777777" w:rsidR="00F6069B" w:rsidRDefault="00F6069B" w:rsidP="00F6069B">
      <w:pPr>
        <w:pStyle w:val="Prrafodelista"/>
      </w:pPr>
    </w:p>
    <w:p w14:paraId="7C63CD9D" w14:textId="2ACAB6F9" w:rsidR="00F6069B" w:rsidRDefault="00F6069B" w:rsidP="00846D8C">
      <w:pPr>
        <w:pStyle w:val="Prrafodelista"/>
        <w:numPr>
          <w:ilvl w:val="0"/>
          <w:numId w:val="3"/>
        </w:numPr>
      </w:pPr>
      <w:r>
        <w:t>La prohibición indiscriminada de la cría de toda clase de especies de animales, incluidas las que no suponen un problema en medioambiental o de saturación de los refugios y protectoras, obedece tan solo a la óptica de que evitar la cautividad a los animales sea protección animal según la ética y moral de la filosofía de los Derechos Animales, lo cual es científicamente inasumible, ya de entrada por razones de conservación. España  es firmante del convenio CITES, por lo que miles de personas están registradas como criadores en las bases de datos correspondientes. La prohibición es arbitraria, va contra la conservación de las especies y vulnera</w:t>
      </w:r>
      <w:r w:rsidR="009B5AC4">
        <w:t xml:space="preserve"> la costumbre de</w:t>
      </w:r>
      <w:r w:rsidR="006212F5">
        <w:t xml:space="preserve"> la cría privada en cautividad practicada por el ser humano desde hace milenios. Dicha prohibición acabaría con la canaricultura, la colombofilia, la avicultura en general, la terrariofilia,</w:t>
      </w:r>
      <w:r w:rsidR="003C7258">
        <w:t xml:space="preserve"> </w:t>
      </w:r>
      <w:r w:rsidR="00E25574">
        <w:t xml:space="preserve">y </w:t>
      </w:r>
      <w:r w:rsidR="003C7258">
        <w:t xml:space="preserve">las razas caninas y felinas </w:t>
      </w:r>
      <w:r w:rsidR="00E25574">
        <w:t>con poca salida comercial que solo se crían por fomento de la raza</w:t>
      </w:r>
      <w:r w:rsidR="003C7258">
        <w:t>, la continuidad de líneas de animales de trabajo</w:t>
      </w:r>
      <w:r w:rsidR="006212F5">
        <w:t>… Carece de sentido profesionalizar aficiones y es i</w:t>
      </w:r>
      <w:r w:rsidR="003C7258">
        <w:t>r contra l</w:t>
      </w:r>
      <w:r w:rsidR="006212F5">
        <w:t>a costumbre, además recogida en el Convenio Europeo sobre Protección de Animales de Compañía, de 13 de noviembre de 1987, al reconocer en su artículo 1, apartado 3 la cría en cautividad por parte de particulares como legítima en sus definiciones, y no como algo éticamente reprochable: “Se entenderá por cría y custodia comerciales de animales de compañía las practicadas principalmente con fines lucrativos y en cantidades considerables.”</w:t>
      </w:r>
    </w:p>
    <w:p w14:paraId="1BD408C8" w14:textId="77777777" w:rsidR="003C7258" w:rsidRDefault="003C7258" w:rsidP="003C7258">
      <w:pPr>
        <w:pStyle w:val="Prrafodelista"/>
      </w:pPr>
    </w:p>
    <w:p w14:paraId="3061A72A" w14:textId="5C893DE1" w:rsidR="006212F5" w:rsidRDefault="006212F5" w:rsidP="003C7258">
      <w:pPr>
        <w:pStyle w:val="Prrafodelista"/>
        <w:numPr>
          <w:ilvl w:val="0"/>
          <w:numId w:val="3"/>
        </w:numPr>
      </w:pPr>
      <w:r>
        <w:t xml:space="preserve">La ley vulnera varios artículos de la Constitución: recoge el concepto de seguridad jurídica expresamente en su Título Preliminar, artículo 9.3, según el cual "la Constitución garantiza el principio de legalidad, la jerarquía normativa, la publicidad de las normas, la irretroactividad de las disposiciones sancionadoras no favorables o restrictivas de derechos individuales, la seguridad jurídica, la responsabilidad y la interdicción de la arbitrariedad de los poderes públicos" y el artículo 33: “Se reconoce el derecho a la propiedad privada y a la herencia. La función social de estos derechos delimitará su contenido, de acuerdo con las leyes. Nadie podrá ser privado de sus </w:t>
      </w:r>
      <w:r>
        <w:lastRenderedPageBreak/>
        <w:t>bienes y derechos sino por causa justificada de utilidad pública o interés social, mediante la correspondiente indemnización y de conformidad con lo dispuesto por las leyes.”. La ley pretende prohibir el comercio legal y regulado de cientos de especies en tiendas que gozan de todo</w:t>
      </w:r>
      <w:r w:rsidR="00FA7B70">
        <w:t>s los permisos que se verían abocadas al cierre y a enviar a miles de trabajadores al paro. También pretende prohibir</w:t>
      </w:r>
      <w:r>
        <w:t xml:space="preserve"> criar a criadores registrados ante las comunidades autónomas, </w:t>
      </w:r>
      <w:r w:rsidR="00FA7B70">
        <w:t xml:space="preserve">(con su núcleo zoológico si fuera necesario) </w:t>
      </w:r>
      <w:r>
        <w:t xml:space="preserve">y ante la autoridad administrativa CITES, que expidieron en su día los permisos oportunos. </w:t>
      </w:r>
      <w:r w:rsidR="00B10BCB">
        <w:t xml:space="preserve">El título III del borrador sería abiertamente contrario a estos artículos de la Constitución. El artículo 39 , en su apartado 2 indica que </w:t>
      </w:r>
      <w:r w:rsidR="00B10BCB" w:rsidRPr="00B10BCB">
        <w:rPr>
          <w:i/>
        </w:rPr>
        <w:t>“Cuando  las  autoridades  competentes  tengan  conocimiento  de  la existencia  de  animales silvestres  en domicilios particulares, en contra de lo dispuesto en este artículo, adoptarán las medidas necesarias para su  intervención  y  puesta  a  disposición  de  centros  de  protección  de  animales silvestres,  zoológicos  o Entidades de Protección Animal”</w:t>
      </w:r>
      <w:r w:rsidR="00DA3A68">
        <w:t xml:space="preserve">, lo cual es de extrema gravedad, ya que </w:t>
      </w:r>
      <w:r w:rsidR="00FA7B70">
        <w:t>según la C</w:t>
      </w:r>
      <w:r w:rsidR="00DA3A68">
        <w:t>onstitución “Nadie podrá ser privado de sus bienes y derechos sino por causa justificada de utilidad pública o interés social, mediante la correspondiente indemnización y de conformidad con lo dispuesto por las leyes”, y la inclusión o no, arbitraria por definición, de una especie animal en un “Listado Positivo”, que cambia la calificación de forma no objetiva de un “animal de compañía”, según la definición del convenio europeo a “animal silvestre” es una privación también, arbitraria, de bienes y derechos causada por una flagrante inseguridad jurídica.</w:t>
      </w:r>
      <w:r w:rsidR="003C7258">
        <w:t xml:space="preserve"> Por otro lado, desde prestigiosos organismos científicos se pide que no se restrinja el comercio de animales de manera indiscriminada. En el informe “</w:t>
      </w:r>
      <w:r w:rsidR="003C7258" w:rsidRPr="003C7258">
        <w:t>Recomendaciones para la importación de anfibios vivos a la UE, con especial consideración de los aspectos veterinarios, médicos y epidemiológicos</w:t>
      </w:r>
      <w:r w:rsidR="003C7258">
        <w:t xml:space="preserve">” </w:t>
      </w:r>
      <w:r w:rsidR="0036149F">
        <w:t xml:space="preserve">de “Citizen conservation”, </w:t>
      </w:r>
      <w:r w:rsidR="003C7258">
        <w:t xml:space="preserve">firmado por los 21 </w:t>
      </w:r>
      <w:r w:rsidR="0036149F">
        <w:t>más eminentes herpetólogos alemanes y avalado por 15 instituciones, en su título III, indica que “La tenencia privada de anfibios es una actividad de ocio significativa, que forma parte del libre desarrollo personal de los propietarios. También es un componente esencial para obtener conocimientos biológicos que no pueden generar las universidades y los parques zoológicos por sí solos” y que “La experiencia también muestra que es más probable que las restricciones comerciales totales fomenten el contrabando y la cría ilegal. Las importaciones ilegales, además, eluden las medidas existentes o recientemente propuestas para la prevención de enfermedades por las que también aboga este documento de posicionamiento. El objetivo de lograr una población cautiva que esté libre de los patógenos anfibios relevantes mencionados se basa en la cooperación con los cuidadores y se malogrará si algunos de ellos, que esté en la sombra, se evade.”</w:t>
      </w:r>
      <w:r w:rsidR="00FA7B70">
        <w:t xml:space="preserve"> Por otro lado, los animales, pese a ser seres sintientes, son propiedades según la legislación española. Además, están registrados como propiedades en los diferentes registros animales existentes, tanto el de la autoridad administrativa CITES como los de animales de compañía de las comunidades autónomas. Dichos registros no deberían ser utilizados para perseguir a los dueños de animales de especies que pasaran a ser calificadas arbitrariamente como “silvestres”, tal como sugiere el artículo 39 del borrador. </w:t>
      </w:r>
    </w:p>
    <w:p w14:paraId="2D56CD2D" w14:textId="77777777" w:rsidR="00DA3A68" w:rsidRDefault="00DA3A68" w:rsidP="00DA3A68">
      <w:pPr>
        <w:pStyle w:val="Prrafodelista"/>
      </w:pPr>
    </w:p>
    <w:p w14:paraId="760A05CB" w14:textId="0844E8CE" w:rsidR="006212F5" w:rsidRDefault="00DA3A68" w:rsidP="00846D8C">
      <w:pPr>
        <w:pStyle w:val="Prrafodelista"/>
        <w:numPr>
          <w:ilvl w:val="0"/>
          <w:numId w:val="3"/>
        </w:numPr>
      </w:pPr>
      <w:r>
        <w:t>Se crean hasta nueve organismos en el borrador del proyecto de ley de dudosa utilidad, creando un enorme edificio burocrático que dificultaría el correcto cumplimiento de las obligaciones impuestas, sumándose al que actualmente ya existe</w:t>
      </w:r>
      <w:r w:rsidR="00FA7B70">
        <w:t xml:space="preserve">, </w:t>
      </w:r>
      <w:r w:rsidR="00FA7B70">
        <w:lastRenderedPageBreak/>
        <w:t>y de difícil mantenimiento presupuestario, más si consagra la desaparición de todo un sector económico que mueve millones de euros y crea miles de puestos de trabajo</w:t>
      </w:r>
      <w:r>
        <w:t xml:space="preserve">. </w:t>
      </w:r>
    </w:p>
    <w:p w14:paraId="798D43C4" w14:textId="77777777" w:rsidR="009B5AC4" w:rsidRDefault="009B5AC4" w:rsidP="009B5AC4">
      <w:pPr>
        <w:pStyle w:val="Prrafodelista"/>
      </w:pPr>
    </w:p>
    <w:p w14:paraId="3B6D9C55" w14:textId="77777777" w:rsidR="009B5AC4" w:rsidRDefault="009B5AC4" w:rsidP="00846D8C">
      <w:pPr>
        <w:pStyle w:val="Prrafodelista"/>
        <w:numPr>
          <w:ilvl w:val="0"/>
          <w:numId w:val="3"/>
        </w:numPr>
      </w:pPr>
      <w:r>
        <w:t>La esterilización obligatoria e indiscriminada de todos los animales supone un desafío veterinario sin precedentes, además de un atentado contra la vida de muchos animales de especies que no soportarían la esterilización, como muchas aves, reptiles o mamíferos</w:t>
      </w:r>
      <w:r w:rsidR="003C7258">
        <w:t>, y la desaparición de las razas de muchos animales domésticos a largo plazo</w:t>
      </w:r>
      <w:r>
        <w:t>. Privarlos reproducirse va además contra sus requerimientos etológicos, y supone perder, en el caso de especies protegidas, un reservorio genético de valor incalculable. Las autoridades CITES incluso distribuyen animales incautados entre criadores privados para que los reproduzcan y se pueda tener un reservorio de esas especies por razones de conservación, sobre todo en países como Alemania y Holanda, donde esta forma de actuar de las autoridades está al orden del día. Además. La cría de especies protegidas por el convenio CITES no solo está extensamente regulada por la UE y los estados, sino que los propios criadores se han organizado para crear libros genealógicos para garantizar la salud de las poblaciones cautivas, evitando su consanguineidad. Iniciativas como la “European Studobook Foundation” o “Citizen Conservation”</w:t>
      </w:r>
      <w:r w:rsidR="003C7258">
        <w:t>.</w:t>
      </w:r>
    </w:p>
    <w:p w14:paraId="77133288" w14:textId="77777777" w:rsidR="007F7100" w:rsidRDefault="007F7100" w:rsidP="007F7100">
      <w:pPr>
        <w:pStyle w:val="Prrafodelista"/>
      </w:pPr>
    </w:p>
    <w:p w14:paraId="36867A73" w14:textId="5D6E02B6" w:rsidR="006212F5" w:rsidRDefault="007F7100" w:rsidP="004446B1">
      <w:pPr>
        <w:pStyle w:val="Prrafodelista"/>
        <w:numPr>
          <w:ilvl w:val="0"/>
          <w:numId w:val="3"/>
        </w:numPr>
        <w:rPr>
          <w:b/>
        </w:rPr>
      </w:pPr>
      <w:r>
        <w:t>Desde la superioridad moral con la que acostumbran a presentarse</w:t>
      </w:r>
      <w:r w:rsidR="009B5AC4">
        <w:t xml:space="preserve"> las organizaciones de derechos animales</w:t>
      </w:r>
      <w:r>
        <w:t xml:space="preserve"> -lo cual también acerca sus planteamientos al tono habitual de las religiones-, y en sintonía con la candidez que caracteriza a nuestra sociedad, no ven al ser humano como un ser esencialmente político (Aristóteles), racional (Descartes) o lingüístico (Hayes), categorías que no pueden ser aplicadas a una gallina o un cangrejo, sino como un ser que se agota en su dimensión sintiente, condición que sí comparte con el resto de los númenes. Pero ésta es una consideración ideológica, más deudora de la publicidad y del individualismo sentimentalista e infantil </w:t>
      </w:r>
      <w:r w:rsidR="00EF7CE3">
        <w:t>im</w:t>
      </w:r>
      <w:r>
        <w:t xml:space="preserve">propio </w:t>
      </w:r>
      <w:bookmarkStart w:id="0" w:name="_GoBack"/>
      <w:bookmarkEnd w:id="0"/>
      <w:r>
        <w:t>de una posición materialista y progresista en el análisis de la condición humana. Su raigambre puritana se demuestra en que no sufren por el dolor animal allá donde se dé por las causas que sean, sino únicamente por aquél infligido por el ser humano.</w:t>
      </w:r>
      <w:r w:rsidR="009B5AC4">
        <w:t xml:space="preserve"> </w:t>
      </w:r>
      <w:r>
        <w:t xml:space="preserve">Animales y humanos son seres sintientes, pero éstos, además, </w:t>
      </w:r>
      <w:r w:rsidRPr="009B5AC4">
        <w:rPr>
          <w:u w:val="single"/>
        </w:rPr>
        <w:t>son sujetos históricos y políticos</w:t>
      </w:r>
      <w:r>
        <w:t xml:space="preserve">, características que no comparten aquéllos; sólo en el marco de esta condición histórica y política tiene sentido hablar de derechos. Es nuestro carácter normativo y conflictivo lo que hace inevitable la aparición de la historia, la política y las leyes en las sociedades humanas. Los derechos no son entidades naturales que brotan de la propia existencia de los individuos que los disfrutan, sino acuerdos sociales siempre enclavados en marcos jurídicos. La pretensión de incluir a los animales en estas lógicas humanas -por ejemplo, convirtiéndoles en titulares de derechos o describiendo su maltrato con el nombre de los delitos contra la integridad de los seres humanos (asesinato de los toros, violación de las vacas)- es el resultado de una candidez emocional que se alimenta del mito de la naturaleza recaído sobre una consideración numinosa de algunos animales. El animalismo, así, aparece ahora como un movimiento de textura religiosa. </w:t>
      </w:r>
      <w:r w:rsidR="009B5AC4" w:rsidRPr="0036149F">
        <w:rPr>
          <w:b/>
        </w:rPr>
        <w:t>Por lo tanto, pido de nuevo que este borrador de índole filosófica y quasireligiosa sea desechado y reescrito consultando a profesionales: Biólogos, veterinarios, criadores, empresas del sector, comercio, zoos y por supuesto, organizaciones de derechos animales, que carecen del derecho a imponer su ideología al resto.</w:t>
      </w:r>
    </w:p>
    <w:p w14:paraId="60146F1C" w14:textId="77777777" w:rsidR="0036149F" w:rsidRDefault="0036149F" w:rsidP="0036149F">
      <w:pPr>
        <w:pStyle w:val="Prrafodelista"/>
        <w:rPr>
          <w:b/>
        </w:rPr>
      </w:pPr>
    </w:p>
    <w:p w14:paraId="0AF75D24" w14:textId="77777777" w:rsidR="0036149F" w:rsidRDefault="0036149F" w:rsidP="0036149F">
      <w:pPr>
        <w:pStyle w:val="Prrafodelista"/>
        <w:rPr>
          <w:b/>
        </w:rPr>
      </w:pPr>
    </w:p>
    <w:p w14:paraId="4EBCEAFF" w14:textId="77777777" w:rsidR="0036149F" w:rsidRDefault="0036149F" w:rsidP="0036149F">
      <w:pPr>
        <w:pStyle w:val="Prrafodelista"/>
      </w:pPr>
      <w:r>
        <w:t>En_____________________________, a      de octubre de 2021</w:t>
      </w:r>
    </w:p>
    <w:p w14:paraId="409005F7" w14:textId="77777777" w:rsidR="0036149F" w:rsidRDefault="0036149F" w:rsidP="0036149F">
      <w:pPr>
        <w:pStyle w:val="Prrafodelista"/>
      </w:pPr>
    </w:p>
    <w:p w14:paraId="70419996" w14:textId="77777777" w:rsidR="0036149F" w:rsidRDefault="0036149F" w:rsidP="0036149F">
      <w:pPr>
        <w:pStyle w:val="Prrafodelista"/>
      </w:pPr>
      <w:r>
        <w:t>Firmado:</w:t>
      </w:r>
    </w:p>
    <w:p w14:paraId="1FAE0CED" w14:textId="77777777" w:rsidR="0036149F" w:rsidRPr="0036149F" w:rsidRDefault="0036149F" w:rsidP="0036149F">
      <w:pPr>
        <w:pStyle w:val="Prrafodelista"/>
      </w:pPr>
    </w:p>
    <w:p w14:paraId="73329645" w14:textId="77777777" w:rsidR="000650F1" w:rsidRDefault="000650F1"/>
    <w:sectPr w:rsidR="000650F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6B5DA1"/>
    <w:multiLevelType w:val="hybridMultilevel"/>
    <w:tmpl w:val="0EAC5E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BC86138"/>
    <w:multiLevelType w:val="hybridMultilevel"/>
    <w:tmpl w:val="3BEC441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33550B69"/>
    <w:multiLevelType w:val="hybridMultilevel"/>
    <w:tmpl w:val="77DCB1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4F47"/>
    <w:rsid w:val="000068BB"/>
    <w:rsid w:val="000650F1"/>
    <w:rsid w:val="000F4F47"/>
    <w:rsid w:val="0036149F"/>
    <w:rsid w:val="003C7258"/>
    <w:rsid w:val="006212F5"/>
    <w:rsid w:val="007F7100"/>
    <w:rsid w:val="00846D8C"/>
    <w:rsid w:val="00950613"/>
    <w:rsid w:val="009B5AC4"/>
    <w:rsid w:val="00B10BCB"/>
    <w:rsid w:val="00C00EB5"/>
    <w:rsid w:val="00DA3A68"/>
    <w:rsid w:val="00E25574"/>
    <w:rsid w:val="00EF7CE3"/>
    <w:rsid w:val="00F6069B"/>
    <w:rsid w:val="00FA7B7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A8B4E"/>
  <w15:chartTrackingRefBased/>
  <w15:docId w15:val="{8CF73F06-D588-449E-AC9F-EFA541245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F4F47"/>
    <w:pPr>
      <w:ind w:left="720"/>
      <w:contextualSpacing/>
    </w:pPr>
  </w:style>
  <w:style w:type="character" w:styleId="Hipervnculo">
    <w:name w:val="Hyperlink"/>
    <w:basedOn w:val="Fuentedeprrafopredeter"/>
    <w:uiPriority w:val="99"/>
    <w:semiHidden/>
    <w:unhideWhenUsed/>
    <w:rsid w:val="006212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861492">
      <w:bodyDiv w:val="1"/>
      <w:marLeft w:val="0"/>
      <w:marRight w:val="0"/>
      <w:marTop w:val="0"/>
      <w:marBottom w:val="0"/>
      <w:divBdr>
        <w:top w:val="none" w:sz="0" w:space="0" w:color="auto"/>
        <w:left w:val="none" w:sz="0" w:space="0" w:color="auto"/>
        <w:bottom w:val="none" w:sz="0" w:space="0" w:color="auto"/>
        <w:right w:val="none" w:sz="0" w:space="0" w:color="auto"/>
      </w:divBdr>
    </w:div>
    <w:div w:id="237443020">
      <w:bodyDiv w:val="1"/>
      <w:marLeft w:val="0"/>
      <w:marRight w:val="0"/>
      <w:marTop w:val="0"/>
      <w:marBottom w:val="0"/>
      <w:divBdr>
        <w:top w:val="none" w:sz="0" w:space="0" w:color="auto"/>
        <w:left w:val="none" w:sz="0" w:space="0" w:color="auto"/>
        <w:bottom w:val="none" w:sz="0" w:space="0" w:color="auto"/>
        <w:right w:val="none" w:sz="0" w:space="0" w:color="auto"/>
      </w:divBdr>
    </w:div>
    <w:div w:id="616714557">
      <w:bodyDiv w:val="1"/>
      <w:marLeft w:val="0"/>
      <w:marRight w:val="0"/>
      <w:marTop w:val="0"/>
      <w:marBottom w:val="0"/>
      <w:divBdr>
        <w:top w:val="none" w:sz="0" w:space="0" w:color="auto"/>
        <w:left w:val="none" w:sz="0" w:space="0" w:color="auto"/>
        <w:bottom w:val="none" w:sz="0" w:space="0" w:color="auto"/>
        <w:right w:val="none" w:sz="0" w:space="0" w:color="auto"/>
      </w:divBdr>
    </w:div>
    <w:div w:id="1107852622">
      <w:bodyDiv w:val="1"/>
      <w:marLeft w:val="0"/>
      <w:marRight w:val="0"/>
      <w:marTop w:val="0"/>
      <w:marBottom w:val="0"/>
      <w:divBdr>
        <w:top w:val="none" w:sz="0" w:space="0" w:color="auto"/>
        <w:left w:val="none" w:sz="0" w:space="0" w:color="auto"/>
        <w:bottom w:val="none" w:sz="0" w:space="0" w:color="auto"/>
        <w:right w:val="none" w:sz="0" w:space="0" w:color="auto"/>
      </w:divBdr>
    </w:div>
    <w:div w:id="1506555042">
      <w:bodyDiv w:val="1"/>
      <w:marLeft w:val="0"/>
      <w:marRight w:val="0"/>
      <w:marTop w:val="0"/>
      <w:marBottom w:val="0"/>
      <w:divBdr>
        <w:top w:val="none" w:sz="0" w:space="0" w:color="auto"/>
        <w:left w:val="none" w:sz="0" w:space="0" w:color="auto"/>
        <w:bottom w:val="none" w:sz="0" w:space="0" w:color="auto"/>
        <w:right w:val="none" w:sz="0" w:space="0" w:color="auto"/>
      </w:divBdr>
    </w:div>
    <w:div w:id="2084062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6</Pages>
  <Words>2820</Words>
  <Characters>15260</Characters>
  <Application>Microsoft Office Word</Application>
  <DocSecurity>0</DocSecurity>
  <Lines>242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Calamardo</dc:creator>
  <cp:keywords/>
  <dc:description/>
  <cp:lastModifiedBy>Calamardo</cp:lastModifiedBy>
  <cp:revision>4</cp:revision>
  <dcterms:created xsi:type="dcterms:W3CDTF">2021-10-12T05:53:00Z</dcterms:created>
  <dcterms:modified xsi:type="dcterms:W3CDTF">2021-10-12T08:27:00Z</dcterms:modified>
</cp:coreProperties>
</file>